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8"/>
      </w:tblGrid>
      <w:tr w:rsidR="00042E9D">
        <w:tc>
          <w:tcPr>
            <w:tcW w:w="9608" w:type="dxa"/>
          </w:tcPr>
          <w:p w:rsidR="00042E9D" w:rsidRDefault="00042E9D">
            <w:pPr>
              <w:pStyle w:val="Anexos1"/>
              <w:spacing w:line="240" w:lineRule="auto"/>
              <w:outlineLvl w:val="0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ANEXO 6 - APÊNDICE A</w:t>
            </w:r>
          </w:p>
        </w:tc>
      </w:tr>
      <w:tr w:rsidR="00042E9D">
        <w:tc>
          <w:tcPr>
            <w:tcW w:w="9608" w:type="dxa"/>
          </w:tcPr>
          <w:p w:rsidR="00042E9D" w:rsidRDefault="00042E9D">
            <w:pPr>
              <w:pStyle w:val="Anexos1"/>
              <w:spacing w:line="240" w:lineRule="auto"/>
              <w:outlineLvl w:val="0"/>
              <w:rPr>
                <w:sz w:val="24"/>
              </w:rPr>
            </w:pPr>
            <w:r>
              <w:rPr>
                <w:sz w:val="24"/>
              </w:rPr>
              <w:t>ESPECIFICAÇÕES TÉCNICAS</w:t>
            </w:r>
          </w:p>
        </w:tc>
      </w:tr>
    </w:tbl>
    <w:p w:rsidR="00042E9D" w:rsidRDefault="00042E9D">
      <w:pPr>
        <w:pStyle w:val="Anexos"/>
      </w:pPr>
    </w:p>
    <w:p w:rsidR="00042E9D" w:rsidRDefault="00042E9D">
      <w:pPr>
        <w:pStyle w:val="Ttulo1"/>
      </w:pPr>
      <w:r>
        <w:t>Interface Física</w:t>
      </w:r>
    </w:p>
    <w:p w:rsidR="00D3493E" w:rsidRPr="00AB278B" w:rsidRDefault="00D3493E" w:rsidP="00D3493E">
      <w:pPr>
        <w:rPr>
          <w:sz w:val="16"/>
        </w:rPr>
      </w:pPr>
    </w:p>
    <w:p w:rsidR="00042E9D" w:rsidRDefault="00042E9D">
      <w:pPr>
        <w:pStyle w:val="Ttulo2"/>
        <w:rPr>
          <w:i/>
        </w:rPr>
      </w:pPr>
      <w:r>
        <w:t>Recomendações G.703, G.704, G.706 da UIT. (Prática TELEBRÀS Nº 225 -100 -706 - “Especificações Gerais de Equipamento Multiplex a 2048 kbit/s” e 220 - 250 - 707 - “Requisitos Mínimos de Interface de Transmissão - Características Elétricas e Físicas”)</w:t>
      </w:r>
      <w:r w:rsidR="00B24464">
        <w:t xml:space="preserve"> – </w:t>
      </w:r>
      <w:r w:rsidR="003E42B0">
        <w:rPr>
          <w:i/>
        </w:rPr>
        <w:t>(q</w:t>
      </w:r>
      <w:r w:rsidR="00B24464" w:rsidRPr="00581977">
        <w:rPr>
          <w:i/>
        </w:rPr>
        <w:t xml:space="preserve">uando </w:t>
      </w:r>
      <w:r w:rsidR="001A51B3" w:rsidRPr="00581977">
        <w:rPr>
          <w:i/>
        </w:rPr>
        <w:t>a</w:t>
      </w:r>
      <w:r w:rsidR="00B24464" w:rsidRPr="00581977">
        <w:rPr>
          <w:i/>
        </w:rPr>
        <w:t>plicável)</w:t>
      </w:r>
      <w:r w:rsidRPr="00581977">
        <w:rPr>
          <w:i/>
        </w:rPr>
        <w:t>.</w:t>
      </w:r>
    </w:p>
    <w:p w:rsidR="00856F87" w:rsidRPr="00AB278B" w:rsidRDefault="00856F87" w:rsidP="00856F87">
      <w:pPr>
        <w:rPr>
          <w:szCs w:val="22"/>
        </w:rPr>
      </w:pPr>
    </w:p>
    <w:p w:rsidR="00B24464" w:rsidRDefault="00042E9D" w:rsidP="00B24464">
      <w:pPr>
        <w:pStyle w:val="Ttulo2"/>
      </w:pPr>
      <w:r>
        <w:t>Recomendações G.821 e G823 da UIT, para aspectos de qualidade</w:t>
      </w:r>
      <w:r w:rsidR="00B24464">
        <w:t xml:space="preserve"> </w:t>
      </w:r>
      <w:r w:rsidR="003E42B0">
        <w:rPr>
          <w:i/>
        </w:rPr>
        <w:t>(q</w:t>
      </w:r>
      <w:r w:rsidR="00B24464" w:rsidRPr="00D3493E">
        <w:rPr>
          <w:i/>
        </w:rPr>
        <w:t xml:space="preserve">uando </w:t>
      </w:r>
      <w:r w:rsidR="001A51B3" w:rsidRPr="00D3493E">
        <w:rPr>
          <w:i/>
        </w:rPr>
        <w:t>a</w:t>
      </w:r>
      <w:r w:rsidR="00B24464" w:rsidRPr="00D3493E">
        <w:rPr>
          <w:i/>
        </w:rPr>
        <w:t>plicável)</w:t>
      </w:r>
      <w:r w:rsidR="00B24464">
        <w:t>.</w:t>
      </w:r>
    </w:p>
    <w:p w:rsidR="00E11E85" w:rsidRPr="00AB278B" w:rsidRDefault="00E11E85" w:rsidP="00E11E85">
      <w:pPr>
        <w:rPr>
          <w:sz w:val="14"/>
        </w:rPr>
      </w:pPr>
    </w:p>
    <w:p w:rsidR="00042E9D" w:rsidRDefault="00042E9D" w:rsidP="003E42B0">
      <w:pPr>
        <w:pStyle w:val="Ttulo3"/>
        <w:tabs>
          <w:tab w:val="clear" w:pos="5671"/>
        </w:tabs>
        <w:ind w:left="1276"/>
      </w:pPr>
      <w:bookmarkStart w:id="1" w:name="_Toc430685686"/>
      <w:r>
        <w:t>Sistema de Sinalização:</w:t>
      </w:r>
      <w:bookmarkEnd w:id="1"/>
    </w:p>
    <w:p w:rsidR="00042E9D" w:rsidRDefault="00042E9D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sz w:val="22"/>
        </w:rPr>
      </w:pPr>
      <w:r>
        <w:rPr>
          <w:sz w:val="22"/>
        </w:rPr>
        <w:t>Sistema de Sinalização por Canal Comum N.º 7: Em conformidade com as seguintes Práticas TELEBRÁS: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 w:hanging="141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  <w:t>N.º 210-110-724 STB "Requisitos Mínimos do Subsistema de Usuário para Telefonia do Sistema de Sinalização por Canal Comum (TUP)";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 w:hanging="141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  <w:t>N.º 220-250-735 STB "Requisitos Mínimos do Subsistema de Transferência de Mensagens do Sistema de Sinalização por Canal Comum (MTP)";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 w:hanging="141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  <w:t>N.º 220-250-732 STB "Subsistema de Usuário RDSI (ISUP) - Sistema de Sinalização por Canal Comum".</w:t>
      </w:r>
    </w:p>
    <w:p w:rsidR="00AB278B" w:rsidRPr="00AB278B" w:rsidRDefault="00AB278B">
      <w:pPr>
        <w:pStyle w:val="Anexos"/>
        <w:numPr>
          <w:ilvl w:val="12"/>
          <w:numId w:val="0"/>
        </w:numPr>
        <w:spacing w:before="120"/>
        <w:ind w:left="1701" w:hanging="141"/>
        <w:rPr>
          <w:sz w:val="16"/>
          <w:szCs w:val="16"/>
        </w:rPr>
      </w:pPr>
    </w:p>
    <w:p w:rsidR="00042E9D" w:rsidRDefault="00042E9D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sz w:val="22"/>
        </w:rPr>
      </w:pPr>
      <w:bookmarkStart w:id="2" w:name="_Toc430685687"/>
      <w:r>
        <w:rPr>
          <w:sz w:val="22"/>
        </w:rPr>
        <w:t>Sistemas de Sincronismo: Em conformidade com a Prática TELEBRÁS N</w:t>
      </w:r>
      <w:r>
        <w:rPr>
          <w:sz w:val="22"/>
          <w:u w:val="single"/>
          <w:vertAlign w:val="superscript"/>
        </w:rPr>
        <w:t>o</w:t>
      </w:r>
      <w:r>
        <w:rPr>
          <w:sz w:val="22"/>
        </w:rPr>
        <w:t xml:space="preserve"> 220 - 250 - 708 - Requisitos mínimos de sincronismo para CPA-T.</w:t>
      </w:r>
      <w:bookmarkEnd w:id="2"/>
    </w:p>
    <w:p w:rsidR="00856F87" w:rsidRPr="00AB278B" w:rsidRDefault="00856F87" w:rsidP="00856F87">
      <w:pPr>
        <w:pStyle w:val="Anexos"/>
        <w:tabs>
          <w:tab w:val="left" w:pos="1560"/>
        </w:tabs>
        <w:rPr>
          <w:sz w:val="22"/>
          <w:szCs w:val="22"/>
        </w:rPr>
      </w:pPr>
    </w:p>
    <w:p w:rsidR="00042E9D" w:rsidRDefault="00042E9D" w:rsidP="003E42B0">
      <w:pPr>
        <w:pStyle w:val="Ttulo3"/>
        <w:tabs>
          <w:tab w:val="clear" w:pos="5671"/>
        </w:tabs>
        <w:ind w:left="1276"/>
      </w:pPr>
      <w:r>
        <w:t>Padrões de Desempenho e Qualidade:</w:t>
      </w:r>
    </w:p>
    <w:p w:rsidR="00042E9D" w:rsidRDefault="00042E9D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sz w:val="22"/>
        </w:rPr>
      </w:pPr>
      <w:r>
        <w:rPr>
          <w:sz w:val="22"/>
        </w:rPr>
        <w:t xml:space="preserve">Disponibilidade mensal da </w:t>
      </w:r>
      <w:r w:rsidR="00203ACC">
        <w:rPr>
          <w:sz w:val="22"/>
        </w:rPr>
        <w:t>Interconexão</w:t>
      </w:r>
      <w:r>
        <w:rPr>
          <w:sz w:val="22"/>
        </w:rPr>
        <w:t>: 99,8%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sz w:val="22"/>
        </w:rPr>
        <w:t>A disponibilidade é definida como a relação entre o tempo em que o sistema apresenta características técnicas e operacionais especificadas e o tempo total considerado.O tempo indisponível de manutenção preventiva não é computado no cálculo da disponibilidade. O período de observação a ser considerado é de 1(um) mês, ou seja, deverá ser considerado o período compreendido entre o primeiro e o último dia do mês (Calendário Juliano).</w:t>
      </w:r>
    </w:p>
    <w:p w:rsidR="00042E9D" w:rsidRPr="00AB278B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16"/>
          <w:szCs w:val="16"/>
        </w:rPr>
      </w:pPr>
    </w:p>
    <w:p w:rsidR="00042E9D" w:rsidRDefault="00042E9D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sz w:val="22"/>
        </w:rPr>
      </w:pPr>
      <w:r>
        <w:rPr>
          <w:sz w:val="22"/>
        </w:rPr>
        <w:t xml:space="preserve">Perda no enlace </w:t>
      </w:r>
      <w:r>
        <w:rPr>
          <w:color w:val="000000"/>
          <w:sz w:val="22"/>
        </w:rPr>
        <w:t>de</w:t>
      </w:r>
      <w:r>
        <w:rPr>
          <w:sz w:val="22"/>
        </w:rPr>
        <w:t xml:space="preserve"> </w:t>
      </w:r>
      <w:r w:rsidR="00203ACC">
        <w:rPr>
          <w:sz w:val="22"/>
        </w:rPr>
        <w:t>Interconexão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sz w:val="22"/>
        </w:rPr>
        <w:t xml:space="preserve">Para as rotas finais de </w:t>
      </w:r>
      <w:r w:rsidR="00203ACC">
        <w:rPr>
          <w:sz w:val="22"/>
        </w:rPr>
        <w:t>Interconexão</w:t>
      </w:r>
      <w:r>
        <w:rPr>
          <w:sz w:val="22"/>
        </w:rPr>
        <w:t xml:space="preserve"> TD - TR; LC - TR e TR – TR, a perda deverá ser &lt; ou = a 1%.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sz w:val="22"/>
        </w:rPr>
        <w:t>Para as rotas diretas ou de alto uso, as perdas deverão ser acordadas nas Reuniões de Planejamento Técnico Integrado, conforme definido no Apêndice A do ANEXO 4.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color w:val="000000"/>
          <w:sz w:val="22"/>
        </w:rPr>
      </w:pPr>
      <w:r>
        <w:rPr>
          <w:color w:val="000000"/>
          <w:sz w:val="22"/>
        </w:rPr>
        <w:t xml:space="preserve">A aferição da perda no enlace final de </w:t>
      </w:r>
      <w:r w:rsidR="00203ACC">
        <w:rPr>
          <w:color w:val="000000"/>
          <w:sz w:val="22"/>
        </w:rPr>
        <w:t>Interconexão</w:t>
      </w:r>
      <w:r>
        <w:rPr>
          <w:color w:val="000000"/>
          <w:sz w:val="22"/>
        </w:rPr>
        <w:t xml:space="preserve"> deverá ser feita mediante análise dos relatórios de tráfego, que mostra os resultados das medições realizadas em tráfego real, na hora de maior movimento (HMM) do enlace, em pelo menos 5 (cinco) dias úteis consecutivos, por mês, sendo a avaliação dos resultados realizada, trimestralmente, em conjunto pelas Empresas.</w:t>
      </w:r>
    </w:p>
    <w:p w:rsidR="00AB278B" w:rsidRDefault="00AB278B">
      <w:pPr>
        <w:pStyle w:val="Anexos"/>
        <w:numPr>
          <w:ilvl w:val="12"/>
          <w:numId w:val="0"/>
        </w:numPr>
        <w:spacing w:before="120"/>
        <w:ind w:left="1701"/>
        <w:rPr>
          <w:color w:val="000000"/>
          <w:sz w:val="22"/>
        </w:rPr>
      </w:pPr>
    </w:p>
    <w:p w:rsidR="00AB278B" w:rsidRDefault="00AB278B">
      <w:pPr>
        <w:pStyle w:val="Anexos"/>
        <w:numPr>
          <w:ilvl w:val="12"/>
          <w:numId w:val="0"/>
        </w:numPr>
        <w:spacing w:before="120"/>
        <w:ind w:left="1701"/>
        <w:rPr>
          <w:color w:val="000000"/>
          <w:sz w:val="22"/>
        </w:rPr>
      </w:pPr>
    </w:p>
    <w:p w:rsidR="00AB278B" w:rsidRDefault="00AB278B">
      <w:pPr>
        <w:pStyle w:val="Anexos"/>
        <w:numPr>
          <w:ilvl w:val="12"/>
          <w:numId w:val="0"/>
        </w:numPr>
        <w:spacing w:before="120"/>
        <w:ind w:left="1701"/>
        <w:rPr>
          <w:color w:val="000000"/>
          <w:sz w:val="22"/>
        </w:rPr>
      </w:pP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color w:val="000000"/>
          <w:sz w:val="22"/>
        </w:rPr>
        <w:lastRenderedPageBreak/>
        <w:t xml:space="preserve">O método e a frequência das medições, o processo de avaliação dos resultados e o modelo de cálculo da perda no enlace de </w:t>
      </w:r>
      <w:r w:rsidR="00203ACC">
        <w:rPr>
          <w:color w:val="000000"/>
          <w:sz w:val="22"/>
        </w:rPr>
        <w:t>Interconexão</w:t>
      </w:r>
      <w:r>
        <w:rPr>
          <w:color w:val="000000"/>
          <w:sz w:val="22"/>
        </w:rPr>
        <w:t xml:space="preserve">, deverão ser acordados entre as PARTES, na primeira reunião de </w:t>
      </w:r>
      <w:r>
        <w:rPr>
          <w:sz w:val="22"/>
        </w:rPr>
        <w:t>Planejamento Técnico Integrado conforme definido no ANEXO 4.</w:t>
      </w:r>
    </w:p>
    <w:p w:rsidR="00856F87" w:rsidRDefault="00856F87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</w:p>
    <w:p w:rsidR="00042E9D" w:rsidRDefault="00042E9D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color w:val="000000"/>
          <w:sz w:val="22"/>
        </w:rPr>
      </w:pPr>
      <w:r>
        <w:rPr>
          <w:sz w:val="22"/>
        </w:rPr>
        <w:t>Qualidade</w:t>
      </w:r>
      <w:r>
        <w:rPr>
          <w:color w:val="000000"/>
          <w:sz w:val="22"/>
        </w:rPr>
        <w:t xml:space="preserve"> de Rede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sz w:val="22"/>
        </w:rPr>
        <w:t>Os níveis de qualidade das redes interconectadas deverão atender aos objetivos estabelecidos no Plano Geral de Metas de Qualidade para o Serviço Telefônico Fixo Comutado, conforme Resolução da ANATEL, No 3</w:t>
      </w:r>
      <w:r w:rsidR="000619B5">
        <w:rPr>
          <w:sz w:val="22"/>
        </w:rPr>
        <w:t>41</w:t>
      </w:r>
      <w:r>
        <w:rPr>
          <w:sz w:val="22"/>
        </w:rPr>
        <w:t>, de 2</w:t>
      </w:r>
      <w:r w:rsidR="000619B5">
        <w:rPr>
          <w:sz w:val="22"/>
        </w:rPr>
        <w:t>0</w:t>
      </w:r>
      <w:r>
        <w:rPr>
          <w:sz w:val="22"/>
        </w:rPr>
        <w:t xml:space="preserve"> de Junho de </w:t>
      </w:r>
      <w:r w:rsidR="000619B5">
        <w:rPr>
          <w:sz w:val="22"/>
        </w:rPr>
        <w:t>2003</w:t>
      </w:r>
      <w:r>
        <w:rPr>
          <w:sz w:val="22"/>
        </w:rPr>
        <w:t xml:space="preserve">. 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sz w:val="22"/>
        </w:rPr>
        <w:t>A evolução dos níveis de desempenho e qualidade das redes deverá ser avaliada nas reuniões de planejamento previstas no ANEXO 4.</w:t>
      </w:r>
    </w:p>
    <w:p w:rsidR="00042E9D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</w:rPr>
      </w:pPr>
      <w:r>
        <w:rPr>
          <w:sz w:val="22"/>
        </w:rPr>
        <w:t>Os procedimentos e ferramentas de avaliação de qualidade de rede</w:t>
      </w:r>
      <w:r w:rsidR="00B509C2">
        <w:rPr>
          <w:sz w:val="22"/>
        </w:rPr>
        <w:t xml:space="preserve"> deverão</w:t>
      </w:r>
      <w:r>
        <w:rPr>
          <w:sz w:val="22"/>
        </w:rPr>
        <w:t xml:space="preserve"> ser acordados entre as PARTES.</w:t>
      </w:r>
    </w:p>
    <w:p w:rsidR="00042E9D" w:rsidRPr="00AB278B" w:rsidRDefault="00042E9D">
      <w:pPr>
        <w:pStyle w:val="Anexos"/>
        <w:numPr>
          <w:ilvl w:val="12"/>
          <w:numId w:val="0"/>
        </w:numPr>
        <w:spacing w:before="120"/>
        <w:ind w:left="1701"/>
        <w:rPr>
          <w:sz w:val="22"/>
          <w:szCs w:val="16"/>
        </w:rPr>
      </w:pPr>
    </w:p>
    <w:p w:rsidR="00D3493E" w:rsidRDefault="00D93A43" w:rsidP="00480853">
      <w:pPr>
        <w:pStyle w:val="Ttulo2"/>
        <w:rPr>
          <w:lang w:val="en-US"/>
        </w:rPr>
      </w:pPr>
      <w:r w:rsidRPr="00D93A43">
        <w:rPr>
          <w:lang w:val="en-US"/>
        </w:rPr>
        <w:t>Recomendaç</w:t>
      </w:r>
      <w:r>
        <w:rPr>
          <w:lang w:val="en-US"/>
        </w:rPr>
        <w:t>ão</w:t>
      </w:r>
      <w:r w:rsidRPr="00DF3811">
        <w:rPr>
          <w:lang w:val="en-US"/>
        </w:rPr>
        <w:t xml:space="preserve"> </w:t>
      </w:r>
      <w:r w:rsidR="00DF3811" w:rsidRPr="00DF3811">
        <w:rPr>
          <w:lang w:val="en-US"/>
        </w:rPr>
        <w:t>G</w:t>
      </w:r>
      <w:r w:rsidR="00DF3811">
        <w:rPr>
          <w:lang w:val="en-US"/>
        </w:rPr>
        <w:t>.</w:t>
      </w:r>
      <w:r>
        <w:rPr>
          <w:lang w:val="en-US"/>
        </w:rPr>
        <w:t xml:space="preserve"> 109 – ITU-T</w:t>
      </w:r>
      <w:r w:rsidR="00DF3811" w:rsidRPr="00DF3811">
        <w:rPr>
          <w:lang w:val="en-US"/>
        </w:rPr>
        <w:t xml:space="preserve"> </w:t>
      </w:r>
      <w:r>
        <w:rPr>
          <w:lang w:val="en-US"/>
        </w:rPr>
        <w:t>(</w:t>
      </w:r>
      <w:r w:rsidR="00DF3811" w:rsidRPr="00DF3811">
        <w:rPr>
          <w:lang w:val="en-US"/>
        </w:rPr>
        <w:t>Definition of categories of speech transmission quality</w:t>
      </w:r>
      <w:r>
        <w:rPr>
          <w:lang w:val="en-US"/>
        </w:rPr>
        <w:t>)</w:t>
      </w:r>
      <w:r w:rsidR="00DF3811">
        <w:rPr>
          <w:lang w:val="en-US"/>
        </w:rPr>
        <w:t xml:space="preserve">, </w:t>
      </w:r>
      <w:r w:rsidR="00480853" w:rsidRPr="00480853">
        <w:rPr>
          <w:lang w:val="en-US"/>
        </w:rPr>
        <w:t xml:space="preserve">AMR-NB – 3GPP TS 26.090 </w:t>
      </w:r>
      <w:r>
        <w:rPr>
          <w:lang w:val="en-US"/>
        </w:rPr>
        <w:t>(</w:t>
      </w:r>
      <w:r w:rsidR="00480853" w:rsidRPr="00480853">
        <w:rPr>
          <w:lang w:val="en-US"/>
        </w:rPr>
        <w:t>Mandatory Speech Co</w:t>
      </w:r>
      <w:r w:rsidR="00DF3811">
        <w:rPr>
          <w:lang w:val="en-US"/>
        </w:rPr>
        <w:t>dec speech processing functions,</w:t>
      </w:r>
      <w:r w:rsidR="00480853" w:rsidRPr="00480853">
        <w:rPr>
          <w:lang w:val="en-US"/>
        </w:rPr>
        <w:t xml:space="preserve"> Adaptive Multi-Rate (AMR) speech codec, Transcoder Free Operation – 3GPP TS 28.062 - Inband Tandem Free Operation</w:t>
      </w:r>
      <w:r w:rsidR="00DF3811">
        <w:rPr>
          <w:lang w:val="en-US"/>
        </w:rPr>
        <w:t xml:space="preserve"> </w:t>
      </w:r>
      <w:r w:rsidR="00480853" w:rsidRPr="00480853">
        <w:rPr>
          <w:lang w:val="en-US"/>
        </w:rPr>
        <w:t>(TFO) of speech codecs</w:t>
      </w:r>
      <w:r>
        <w:rPr>
          <w:lang w:val="en-US"/>
        </w:rPr>
        <w:t>,</w:t>
      </w:r>
      <w:r w:rsidR="00480853" w:rsidRPr="00480853">
        <w:rPr>
          <w:lang w:val="en-US"/>
        </w:rPr>
        <w:t xml:space="preserve"> MOS – Mean Opinion Score – ITU-T - P.800 : Methods for subjective determination of transmission quality)</w:t>
      </w:r>
      <w:r>
        <w:rPr>
          <w:lang w:val="en-US"/>
        </w:rPr>
        <w:t xml:space="preserve">, </w:t>
      </w:r>
      <w:r w:rsidRPr="00D93A43">
        <w:rPr>
          <w:lang w:val="en-US"/>
        </w:rPr>
        <w:t>Codecs</w:t>
      </w:r>
      <w:r>
        <w:rPr>
          <w:lang w:val="en-US"/>
        </w:rPr>
        <w:t xml:space="preserve"> G.711, G.722, G.729 da UIT.</w:t>
      </w:r>
      <w:r w:rsidR="00480853" w:rsidRPr="00480853">
        <w:rPr>
          <w:lang w:val="en-US"/>
        </w:rPr>
        <w:t xml:space="preserve"> – </w:t>
      </w:r>
      <w:r w:rsidR="003A5B57" w:rsidRPr="003A5B57">
        <w:rPr>
          <w:i/>
          <w:lang w:val="en-US"/>
        </w:rPr>
        <w:t>(Quando aplicável)</w:t>
      </w:r>
      <w:r w:rsidR="003A5B57" w:rsidRPr="003A5B57">
        <w:rPr>
          <w:lang w:val="en-US"/>
        </w:rPr>
        <w:t>.</w:t>
      </w:r>
    </w:p>
    <w:p w:rsidR="00F9017A" w:rsidRDefault="00F9017A" w:rsidP="00F9017A">
      <w:pPr>
        <w:rPr>
          <w:lang w:val="en-US"/>
        </w:rPr>
      </w:pPr>
    </w:p>
    <w:p w:rsidR="00D3493E" w:rsidRDefault="00D3493E" w:rsidP="00F9017A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sz w:val="22"/>
        </w:rPr>
      </w:pPr>
      <w:r w:rsidRPr="00F9017A">
        <w:rPr>
          <w:sz w:val="22"/>
        </w:rPr>
        <w:t>G.711</w:t>
      </w:r>
      <w:r w:rsidR="005D4BA2" w:rsidRPr="00F9017A">
        <w:rPr>
          <w:sz w:val="22"/>
        </w:rPr>
        <w:t xml:space="preserve"> – codec P</w:t>
      </w:r>
      <w:r w:rsidRPr="00F9017A">
        <w:rPr>
          <w:sz w:val="22"/>
        </w:rPr>
        <w:t>adrão ITU-T para transporte de chamadas em transmissão TDM. Utiliza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taxa de amostragem de 8 kHz. A compactação é feita pela quantização logarítmica,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resultando em 8 bits por amostra.</w:t>
      </w:r>
    </w:p>
    <w:p w:rsidR="00F9017A" w:rsidRPr="00F9017A" w:rsidRDefault="00F9017A" w:rsidP="00F9017A">
      <w:pPr>
        <w:pStyle w:val="Anexos"/>
        <w:tabs>
          <w:tab w:val="left" w:pos="1560"/>
        </w:tabs>
        <w:rPr>
          <w:sz w:val="22"/>
        </w:rPr>
      </w:pPr>
    </w:p>
    <w:p w:rsidR="00AB278B" w:rsidRPr="00F9017A" w:rsidRDefault="00D3493E" w:rsidP="00F9017A">
      <w:pPr>
        <w:pStyle w:val="Anexos"/>
        <w:numPr>
          <w:ilvl w:val="0"/>
          <w:numId w:val="1"/>
        </w:numPr>
        <w:tabs>
          <w:tab w:val="left" w:pos="1560"/>
        </w:tabs>
        <w:ind w:left="1560" w:hanging="284"/>
        <w:rPr>
          <w:sz w:val="22"/>
        </w:rPr>
      </w:pPr>
      <w:r w:rsidRPr="00F9017A">
        <w:rPr>
          <w:sz w:val="22"/>
        </w:rPr>
        <w:t>G.729</w:t>
      </w:r>
      <w:r w:rsidR="005D4BA2" w:rsidRPr="00F9017A">
        <w:rPr>
          <w:sz w:val="22"/>
        </w:rPr>
        <w:t xml:space="preserve"> - </w:t>
      </w:r>
      <w:r w:rsidRPr="00F9017A">
        <w:rPr>
          <w:sz w:val="22"/>
        </w:rPr>
        <w:t xml:space="preserve"> codec utilizado para comprimir a voz visando uma redução da taxa de bits gerada,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visando a transmissão via VoIP onde há problemas de banda de transmissão. A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compressão gera pacotes de duração de 10ms. A taxa de bits gerada é de 8 kbps.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Devido à compressão utilizada, esse codec não pode ser usado para transmissão de fax e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dados. No caso de necessidade de DTMF é preciso o recurso de passagem destas</w:t>
      </w:r>
      <w:r w:rsidR="005D4BA2" w:rsidRPr="00F9017A">
        <w:rPr>
          <w:sz w:val="22"/>
        </w:rPr>
        <w:t xml:space="preserve"> </w:t>
      </w:r>
      <w:r w:rsidRPr="00F9017A">
        <w:rPr>
          <w:sz w:val="22"/>
        </w:rPr>
        <w:t>informações via fluxo de controle</w:t>
      </w:r>
      <w:r w:rsidR="00412C91" w:rsidRPr="00F9017A">
        <w:rPr>
          <w:sz w:val="22"/>
        </w:rPr>
        <w:t>.</w:t>
      </w:r>
    </w:p>
    <w:p w:rsidR="008427A0" w:rsidRPr="008427A0" w:rsidRDefault="008427A0" w:rsidP="008427A0"/>
    <w:p w:rsidR="00D3493E" w:rsidRPr="00F9017A" w:rsidRDefault="00D3493E" w:rsidP="00D377BE">
      <w:pPr>
        <w:pStyle w:val="Ttulo3"/>
        <w:tabs>
          <w:tab w:val="clear" w:pos="5671"/>
          <w:tab w:val="left" w:pos="1276"/>
        </w:tabs>
        <w:ind w:left="567" w:firstLine="0"/>
      </w:pPr>
      <w:r w:rsidRPr="00F9017A">
        <w:t>A priorização dos tipos de codecs a serem utilizados para</w:t>
      </w:r>
      <w:r w:rsidR="00FD3651" w:rsidRPr="00F9017A">
        <w:t xml:space="preserve"> </w:t>
      </w:r>
      <w:r w:rsidRPr="00F9017A">
        <w:t xml:space="preserve">interligação de equipamentos </w:t>
      </w:r>
      <w:r w:rsidR="008427A0" w:rsidRPr="00F9017A">
        <w:t xml:space="preserve">deverá </w:t>
      </w:r>
      <w:r w:rsidR="00D377BE">
        <w:t xml:space="preserve">seguir </w:t>
      </w:r>
      <w:r w:rsidR="008427A0" w:rsidRPr="00F9017A">
        <w:t xml:space="preserve"> conforme </w:t>
      </w:r>
      <w:r w:rsidRPr="00F9017A">
        <w:t>indicad</w:t>
      </w:r>
      <w:r w:rsidR="008427A0" w:rsidRPr="00F9017A">
        <w:t>o</w:t>
      </w:r>
      <w:r w:rsidRPr="00F9017A">
        <w:t xml:space="preserve"> a abaixo:</w:t>
      </w:r>
    </w:p>
    <w:p w:rsidR="00FD3651" w:rsidRPr="00FD3651" w:rsidRDefault="00FD3651" w:rsidP="00FD3651"/>
    <w:p w:rsidR="00D3493E" w:rsidRPr="00FD3651" w:rsidRDefault="00B66F7F" w:rsidP="00FD3651">
      <w:pPr>
        <w:pStyle w:val="Ttulo3"/>
        <w:numPr>
          <w:ilvl w:val="0"/>
          <w:numId w:val="18"/>
        </w:numPr>
      </w:pPr>
      <w:r>
        <w:t xml:space="preserve">G.711 </w:t>
      </w:r>
      <w:r w:rsidR="008427A0">
        <w:t xml:space="preserve">será </w:t>
      </w:r>
      <w:r w:rsidR="00D3493E" w:rsidRPr="00FD3651">
        <w:t xml:space="preserve">o codec </w:t>
      </w:r>
      <w:r w:rsidR="00C40D0C">
        <w:t xml:space="preserve">mandatório </w:t>
      </w:r>
      <w:r w:rsidR="00D3493E" w:rsidRPr="00FD3651">
        <w:t xml:space="preserve">nos acordos de </w:t>
      </w:r>
      <w:r w:rsidR="00203ACC">
        <w:t>Interconexão</w:t>
      </w:r>
      <w:r w:rsidR="008427A0">
        <w:t>.</w:t>
      </w:r>
    </w:p>
    <w:p w:rsidR="00F56136" w:rsidRDefault="00C40D0C" w:rsidP="00B255F0">
      <w:pPr>
        <w:pStyle w:val="Ttulo3"/>
        <w:numPr>
          <w:ilvl w:val="0"/>
          <w:numId w:val="18"/>
        </w:numPr>
      </w:pPr>
      <w:r>
        <w:t>G.729 pode</w:t>
      </w:r>
      <w:r w:rsidR="00D377BE">
        <w:t>rá</w:t>
      </w:r>
      <w:r>
        <w:t xml:space="preserve"> ser usado, após acordo entre as Partes, </w:t>
      </w:r>
      <w:r w:rsidR="00D3493E" w:rsidRPr="00FD3651">
        <w:t>nos seguintes casos</w:t>
      </w:r>
      <w:r w:rsidR="00F56136">
        <w:t xml:space="preserve">: </w:t>
      </w:r>
    </w:p>
    <w:p w:rsidR="00D3493E" w:rsidRPr="00FD3651" w:rsidRDefault="00D3493E" w:rsidP="00203ACC">
      <w:pPr>
        <w:pStyle w:val="Ttulo3"/>
        <w:numPr>
          <w:ilvl w:val="0"/>
          <w:numId w:val="0"/>
        </w:numPr>
        <w:ind w:left="2124"/>
      </w:pPr>
      <w:r w:rsidRPr="00FD3651">
        <w:t>a. Compatibilidade com equipamentos que não tenham suporte ao G.711;</w:t>
      </w:r>
    </w:p>
    <w:p w:rsidR="00D3493E" w:rsidRPr="00FD3651" w:rsidRDefault="00D3493E" w:rsidP="00203ACC">
      <w:pPr>
        <w:pStyle w:val="Ttulo3"/>
        <w:numPr>
          <w:ilvl w:val="0"/>
          <w:numId w:val="0"/>
        </w:numPr>
        <w:ind w:left="2124"/>
      </w:pPr>
      <w:r w:rsidRPr="00FD3651">
        <w:t xml:space="preserve">b. Cenários de </w:t>
      </w:r>
      <w:r w:rsidR="00203ACC">
        <w:t>Interconexão</w:t>
      </w:r>
      <w:r w:rsidRPr="00FD3651">
        <w:t xml:space="preserve"> em que há</w:t>
      </w:r>
      <w:r w:rsidR="00B255F0">
        <w:t xml:space="preserve"> </w:t>
      </w:r>
      <w:r w:rsidRPr="00FD3651">
        <w:t>r</w:t>
      </w:r>
      <w:r w:rsidR="00D377BE">
        <w:t>estrições ao uso do codec G.711;</w:t>
      </w:r>
    </w:p>
    <w:p w:rsidR="00D3493E" w:rsidRDefault="00D3493E" w:rsidP="00203ACC">
      <w:pPr>
        <w:pStyle w:val="Ttulo3"/>
        <w:numPr>
          <w:ilvl w:val="0"/>
          <w:numId w:val="0"/>
        </w:numPr>
        <w:ind w:left="2124"/>
      </w:pPr>
      <w:r w:rsidRPr="00FD3651">
        <w:t>c. Cenários em que há real restrição de recursos de transmissão, como por</w:t>
      </w:r>
      <w:r w:rsidR="00203ACC">
        <w:t xml:space="preserve"> </w:t>
      </w:r>
      <w:r w:rsidRPr="00FD3651">
        <w:t>exemplo, enlaces de satélite ou enlaces internacionais.</w:t>
      </w:r>
    </w:p>
    <w:p w:rsidR="00203ACC" w:rsidRDefault="00203ACC" w:rsidP="00FD3651">
      <w:pPr>
        <w:pStyle w:val="Ttulo3"/>
        <w:numPr>
          <w:ilvl w:val="0"/>
          <w:numId w:val="0"/>
        </w:numPr>
        <w:ind w:left="1276"/>
      </w:pPr>
    </w:p>
    <w:p w:rsidR="00D3493E" w:rsidRPr="00FD3651" w:rsidRDefault="00D3493E" w:rsidP="00FD3651">
      <w:pPr>
        <w:pStyle w:val="Ttulo3"/>
        <w:numPr>
          <w:ilvl w:val="0"/>
          <w:numId w:val="0"/>
        </w:numPr>
        <w:ind w:left="1276"/>
      </w:pPr>
      <w:r w:rsidRPr="00FD3651">
        <w:t>Para o transporte do serviço de fax dev</w:t>
      </w:r>
      <w:r w:rsidR="00203ACC">
        <w:t>e ser usado o codec G.711,</w:t>
      </w:r>
      <w:r w:rsidRPr="00FD3651">
        <w:t xml:space="preserve"> </w:t>
      </w:r>
      <w:r w:rsidR="00203ACC">
        <w:t>n</w:t>
      </w:r>
      <w:r w:rsidRPr="00FD3651">
        <w:t>os</w:t>
      </w:r>
      <w:r w:rsidR="00203ACC">
        <w:t xml:space="preserve"> </w:t>
      </w:r>
      <w:r w:rsidRPr="00FD3651">
        <w:t xml:space="preserve">casos de </w:t>
      </w:r>
      <w:r w:rsidR="00203ACC">
        <w:t>Interconexão</w:t>
      </w:r>
      <w:r w:rsidRPr="00FD3651">
        <w:t xml:space="preserve"> onde for usado o G.729 para voz</w:t>
      </w:r>
      <w:r w:rsidR="00203ACC">
        <w:t>,</w:t>
      </w:r>
      <w:r w:rsidR="00B509C2">
        <w:t xml:space="preserve"> </w:t>
      </w:r>
      <w:r w:rsidRPr="00FD3651">
        <w:t>as</w:t>
      </w:r>
      <w:r w:rsidR="00203ACC">
        <w:t xml:space="preserve"> </w:t>
      </w:r>
      <w:r w:rsidRPr="00FD3651">
        <w:t>chamadas de fax devem ser convertidas para G.711.</w:t>
      </w:r>
    </w:p>
    <w:p w:rsidR="00480853" w:rsidRDefault="00480853" w:rsidP="00FB1218">
      <w:pPr>
        <w:pStyle w:val="Anexos"/>
        <w:numPr>
          <w:ilvl w:val="12"/>
          <w:numId w:val="0"/>
        </w:numPr>
        <w:spacing w:before="120"/>
        <w:rPr>
          <w:sz w:val="22"/>
        </w:rPr>
      </w:pPr>
    </w:p>
    <w:sectPr w:rsidR="00480853">
      <w:headerReference w:type="default" r:id="rId7"/>
      <w:footerReference w:type="default" r:id="rId8"/>
      <w:pgSz w:w="11907" w:h="16840" w:code="9"/>
      <w:pgMar w:top="957" w:right="851" w:bottom="1247" w:left="1588" w:header="68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1C1" w:rsidRDefault="001101C1">
      <w:r>
        <w:separator/>
      </w:r>
    </w:p>
  </w:endnote>
  <w:endnote w:type="continuationSeparator" w:id="0">
    <w:p w:rsidR="001101C1" w:rsidRDefault="00110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E9D" w:rsidRDefault="00051F57" w:rsidP="00051F57">
    <w:pPr>
      <w:pStyle w:val="Rodap"/>
      <w:pBdr>
        <w:top w:val="single" w:sz="4" w:space="1" w:color="auto"/>
      </w:pBdr>
      <w:jc w:val="center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836C5F">
      <w:rPr>
        <w:noProof/>
      </w:rPr>
      <w:t>1</w:t>
    </w:r>
    <w:r>
      <w:fldChar w:fldCharType="end"/>
    </w:r>
    <w:r>
      <w:t xml:space="preserve"> de </w:t>
    </w:r>
    <w:fldSimple w:instr=" NUMPAGES ">
      <w:r w:rsidR="00836C5F">
        <w:rPr>
          <w:noProof/>
        </w:rPr>
        <w:t>2</w:t>
      </w:r>
    </w:fldSimple>
  </w:p>
  <w:p w:rsidR="00042E9D" w:rsidRDefault="00042E9D">
    <w:pPr>
      <w:pStyle w:val="Rodap"/>
      <w:pBdr>
        <w:top w:val="none" w:sz="0" w:space="0" w:color="auto"/>
      </w:pBdr>
    </w:pPr>
  </w:p>
  <w:p w:rsidR="00042E9D" w:rsidRDefault="00042E9D">
    <w:pPr>
      <w:pStyle w:val="Rodap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1C1" w:rsidRDefault="001101C1">
      <w:r>
        <w:separator/>
      </w:r>
    </w:p>
  </w:footnote>
  <w:footnote w:type="continuationSeparator" w:id="0">
    <w:p w:rsidR="001101C1" w:rsidRDefault="00110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846" w:rsidRDefault="00573846" w:rsidP="00573846">
    <w:pPr>
      <w:pStyle w:val="Cabealho"/>
      <w:pBdr>
        <w:bottom w:val="single" w:sz="4" w:space="1" w:color="auto"/>
      </w:pBdr>
      <w:jc w:val="center"/>
      <w:rPr>
        <w:rFonts w:ascii="Times New Roman" w:hAnsi="Times New Roman"/>
        <w:i/>
        <w:sz w:val="20"/>
      </w:rPr>
    </w:pPr>
    <w:r>
      <w:rPr>
        <w:sz w:val="16"/>
      </w:rPr>
      <w:t xml:space="preserve">ANEXO 6 </w:t>
    </w:r>
    <w:r w:rsidR="00234B1F">
      <w:rPr>
        <w:sz w:val="16"/>
      </w:rPr>
      <w:t xml:space="preserve">- </w:t>
    </w:r>
    <w:r>
      <w:rPr>
        <w:sz w:val="16"/>
      </w:rPr>
      <w:t>APÊNDICE A ao Contrato de Inter</w:t>
    </w:r>
    <w:r w:rsidR="00051F57">
      <w:rPr>
        <w:sz w:val="16"/>
      </w:rPr>
      <w:t xml:space="preserve">conexão </w:t>
    </w:r>
    <w:r w:rsidR="00FB1218">
      <w:rPr>
        <w:sz w:val="16"/>
      </w:rPr>
      <w:t>Rede Fixa</w:t>
    </w:r>
    <w:r w:rsidR="00857391">
      <w:rPr>
        <w:sz w:val="16"/>
      </w:rPr>
      <w:t xml:space="preserve"> </w:t>
    </w:r>
  </w:p>
  <w:p w:rsidR="00042E9D" w:rsidRDefault="00042E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E6F19"/>
    <w:multiLevelType w:val="singleLevel"/>
    <w:tmpl w:val="C734C82E"/>
    <w:lvl w:ilvl="0">
      <w:start w:val="6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 w15:restartNumberingAfterBreak="0">
    <w:nsid w:val="1192339D"/>
    <w:multiLevelType w:val="singleLevel"/>
    <w:tmpl w:val="F9921C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3BE58FE"/>
    <w:multiLevelType w:val="multilevel"/>
    <w:tmpl w:val="9EA47B42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851591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E2A2AAA"/>
    <w:multiLevelType w:val="hybridMultilevel"/>
    <w:tmpl w:val="7638CB58"/>
    <w:lvl w:ilvl="0" w:tplc="58460EC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658975F3"/>
    <w:multiLevelType w:val="multilevel"/>
    <w:tmpl w:val="57C8E8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 w15:restartNumberingAfterBreak="0">
    <w:nsid w:val="65C20B9E"/>
    <w:multiLevelType w:val="hybridMultilevel"/>
    <w:tmpl w:val="9EDAB1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E41C9"/>
    <w:multiLevelType w:val="hybridMultilevel"/>
    <w:tmpl w:val="0CEC1D56"/>
    <w:lvl w:ilvl="0" w:tplc="0416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6E70130C"/>
    <w:multiLevelType w:val="hybridMultilevel"/>
    <w:tmpl w:val="01CAFF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82808"/>
    <w:multiLevelType w:val="multilevel"/>
    <w:tmpl w:val="73FAA7C4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5671"/>
        </w:tabs>
        <w:ind w:left="5671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993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0"/>
  </w:num>
  <w:num w:numId="18">
    <w:abstractNumId w:val="8"/>
  </w:num>
  <w:num w:numId="19">
    <w:abstractNumId w:val="5"/>
  </w:num>
  <w:num w:numId="20">
    <w:abstractNumId w:val="10"/>
  </w:num>
  <w:num w:numId="21">
    <w:abstractNumId w:val="9"/>
  </w:num>
  <w:num w:numId="22">
    <w:abstractNumId w:val="10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A7B"/>
    <w:rsid w:val="00042E9D"/>
    <w:rsid w:val="00051F57"/>
    <w:rsid w:val="000619B5"/>
    <w:rsid w:val="00062A7B"/>
    <w:rsid w:val="00096CDB"/>
    <w:rsid w:val="000C793B"/>
    <w:rsid w:val="000F7F8A"/>
    <w:rsid w:val="001101C1"/>
    <w:rsid w:val="001A51B3"/>
    <w:rsid w:val="00203ACC"/>
    <w:rsid w:val="00234B1F"/>
    <w:rsid w:val="002974B3"/>
    <w:rsid w:val="002A0B64"/>
    <w:rsid w:val="002A1E8D"/>
    <w:rsid w:val="003A5B57"/>
    <w:rsid w:val="003E42B0"/>
    <w:rsid w:val="00412C91"/>
    <w:rsid w:val="004170AC"/>
    <w:rsid w:val="00480853"/>
    <w:rsid w:val="004F0808"/>
    <w:rsid w:val="00573846"/>
    <w:rsid w:val="00581977"/>
    <w:rsid w:val="00584219"/>
    <w:rsid w:val="005D4BA2"/>
    <w:rsid w:val="006367CB"/>
    <w:rsid w:val="006856F0"/>
    <w:rsid w:val="0069268A"/>
    <w:rsid w:val="006E4E07"/>
    <w:rsid w:val="00781C54"/>
    <w:rsid w:val="00836C5F"/>
    <w:rsid w:val="008427A0"/>
    <w:rsid w:val="00856F87"/>
    <w:rsid w:val="00857391"/>
    <w:rsid w:val="00901AC7"/>
    <w:rsid w:val="009A25CB"/>
    <w:rsid w:val="009E0E52"/>
    <w:rsid w:val="00A55293"/>
    <w:rsid w:val="00AB278B"/>
    <w:rsid w:val="00B24464"/>
    <w:rsid w:val="00B255F0"/>
    <w:rsid w:val="00B41EAA"/>
    <w:rsid w:val="00B509C2"/>
    <w:rsid w:val="00B66F7F"/>
    <w:rsid w:val="00BA2315"/>
    <w:rsid w:val="00C40D0C"/>
    <w:rsid w:val="00C827C8"/>
    <w:rsid w:val="00D3493E"/>
    <w:rsid w:val="00D377BE"/>
    <w:rsid w:val="00D918D9"/>
    <w:rsid w:val="00D93A43"/>
    <w:rsid w:val="00DB085F"/>
    <w:rsid w:val="00DD7CB0"/>
    <w:rsid w:val="00DF3811"/>
    <w:rsid w:val="00E11E85"/>
    <w:rsid w:val="00E37854"/>
    <w:rsid w:val="00E8720D"/>
    <w:rsid w:val="00EF5B1B"/>
    <w:rsid w:val="00F13245"/>
    <w:rsid w:val="00F56136"/>
    <w:rsid w:val="00F8309A"/>
    <w:rsid w:val="00F9017A"/>
    <w:rsid w:val="00F97F5B"/>
    <w:rsid w:val="00FB1218"/>
    <w:rsid w:val="00FD3651"/>
    <w:rsid w:val="00FF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A8517B-851A-4EC6-8329-57A2FA64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7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7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7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7"/>
      </w:numPr>
      <w:suppressAutoHyphens/>
      <w:spacing w:before="80" w:after="80"/>
      <w:jc w:val="both"/>
      <w:outlineLvl w:val="3"/>
    </w:pPr>
  </w:style>
  <w:style w:type="paragraph" w:styleId="Ttulo5">
    <w:name w:val="heading 5"/>
    <w:basedOn w:val="Normal"/>
    <w:next w:val="Normal"/>
    <w:qFormat/>
    <w:pPr>
      <w:keepLines/>
      <w:numPr>
        <w:ilvl w:val="4"/>
        <w:numId w:val="7"/>
      </w:numPr>
      <w:suppressAutoHyphens/>
      <w:spacing w:before="80" w:after="80"/>
      <w:jc w:val="both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7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  <w:rPr>
      <w:sz w:val="20"/>
    </w:rPr>
  </w:style>
  <w:style w:type="paragraph" w:styleId="Ttulo8">
    <w:name w:val="heading 8"/>
    <w:basedOn w:val="Normal"/>
    <w:next w:val="Normal"/>
    <w:qFormat/>
    <w:pPr>
      <w:numPr>
        <w:ilvl w:val="7"/>
        <w:numId w:val="7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7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character" w:customStyle="1" w:styleId="observation">
    <w:name w:val="observation"/>
    <w:basedOn w:val="Fontepargpadro"/>
    <w:rsid w:val="00E37854"/>
  </w:style>
  <w:style w:type="paragraph" w:styleId="NormalWeb">
    <w:name w:val="Normal (Web)"/>
    <w:basedOn w:val="Normal"/>
    <w:uiPriority w:val="99"/>
    <w:unhideWhenUsed/>
    <w:rsid w:val="00E3785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E37854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03A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749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Carolina Esteves</cp:lastModifiedBy>
  <cp:revision>36</cp:revision>
  <cp:lastPrinted>2021-10-04T21:56:00Z</cp:lastPrinted>
  <dcterms:created xsi:type="dcterms:W3CDTF">2018-09-21T17:53:00Z</dcterms:created>
  <dcterms:modified xsi:type="dcterms:W3CDTF">2021-10-04T21:56:00Z</dcterms:modified>
</cp:coreProperties>
</file>